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6ED2CEEA" w:rsidR="00D80734" w:rsidRPr="00C417FD" w:rsidRDefault="00171F33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C417FD" w:rsidRDefault="00C417FD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056B84C" w:rsidR="00D80734" w:rsidRPr="00C417FD" w:rsidRDefault="00171F33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6BB956ED" w:rsidR="00323CD3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Warunki techniczne i obowiązkowe wyposażenie </w:t>
      </w:r>
      <w:r w:rsidR="00EF3011">
        <w:rPr>
          <w:rFonts w:ascii="Times New Roman" w:hAnsi="Times New Roman" w:cs="Times New Roman"/>
          <w:sz w:val="24"/>
          <w:szCs w:val="24"/>
        </w:rPr>
        <w:t>urządzeń transportu osobistego</w:t>
      </w:r>
    </w:p>
    <w:p w14:paraId="6B220C7A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E3621" w14:textId="4F2D8EAC" w:rsidR="00EA1977" w:rsidRPr="00C417FD" w:rsidRDefault="00EF3011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transportu osobistego</w:t>
      </w:r>
      <w:r w:rsidR="005962FF" w:rsidRPr="00C417FD">
        <w:rPr>
          <w:rFonts w:ascii="Times New Roman" w:hAnsi="Times New Roman" w:cs="Times New Roman"/>
          <w:sz w:val="24"/>
          <w:szCs w:val="24"/>
        </w:rPr>
        <w:t xml:space="preserve"> wprowadzane do obrotu po dniu 31 grudnia 2021 roku muszą spełniać poniższe wymogi w zakresie warunków technicznych oraz ich niezbędnego wyposażenia:</w:t>
      </w:r>
    </w:p>
    <w:p w14:paraId="45BAA88A" w14:textId="24E08F4D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2B143" w14:textId="1B18FDB8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[W centralnej części strony zdjęcie </w:t>
      </w:r>
      <w:r w:rsidR="00EF3011">
        <w:rPr>
          <w:rFonts w:ascii="Times New Roman" w:hAnsi="Times New Roman" w:cs="Times New Roman"/>
          <w:sz w:val="24"/>
          <w:szCs w:val="24"/>
        </w:rPr>
        <w:t>urządzenia transportu osobistego</w:t>
      </w:r>
      <w:r w:rsidRPr="00C417FD">
        <w:rPr>
          <w:rFonts w:ascii="Times New Roman" w:hAnsi="Times New Roman" w:cs="Times New Roman"/>
          <w:sz w:val="24"/>
          <w:szCs w:val="24"/>
        </w:rPr>
        <w:t xml:space="preserve"> – widok z boku </w:t>
      </w:r>
      <w:r w:rsidR="00EF3011">
        <w:rPr>
          <w:rFonts w:ascii="Times New Roman" w:hAnsi="Times New Roman" w:cs="Times New Roman"/>
          <w:sz w:val="24"/>
          <w:szCs w:val="24"/>
        </w:rPr>
        <w:t xml:space="preserve">i przodu </w:t>
      </w:r>
      <w:r w:rsidRPr="00C417FD">
        <w:rPr>
          <w:rFonts w:ascii="Times New Roman" w:hAnsi="Times New Roman" w:cs="Times New Roman"/>
          <w:sz w:val="24"/>
          <w:szCs w:val="24"/>
        </w:rPr>
        <w:t>pojazdu.]</w:t>
      </w:r>
    </w:p>
    <w:p w14:paraId="5AB486F7" w14:textId="77777777" w:rsidR="00C417FD" w:rsidRPr="00C417FD" w:rsidRDefault="00C417FD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5F19" w14:textId="634E78C8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przednią częścią hulajnogi na zdjęciu, zawierające tekst:] </w:t>
      </w:r>
    </w:p>
    <w:p w14:paraId="139E8AB5" w14:textId="7396BFA4" w:rsid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białej lub żółtej selektywnej. Światło to oświetlone światłem drogowym innego pojazdu powinno być widoczne w nocy przy dobrej przejrzystości powietrza z odległości co najmniej 150 m (może być migające). Przednie światło pozycyjne nie może być widoczne z tyłu pojazdu. Może być ono zdemontowane, jeżeli kierujący hulajnogą elektryczną nie jest obowiązany do używania go podczas jazdy.</w:t>
      </w:r>
    </w:p>
    <w:p w14:paraId="0BEB7C48" w14:textId="640B8F5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B4B2C" w14:textId="6EC4C69F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="00EF3011">
        <w:rPr>
          <w:rFonts w:ascii="Times New Roman" w:eastAsia="Times New Roman" w:hAnsi="Times New Roman" w:cs="Times New Roman"/>
          <w:sz w:val="24"/>
          <w:szCs w:val="24"/>
          <w:lang w:eastAsia="pl-PL"/>
        </w:rPr>
        <w:t>tylną częścią 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53739E32" w14:textId="3940111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czerwonej. Światło to oświetlone światłem drogowym innego pojazdu powinno być widoczne w nocy przy dobrej przejrzystości powietrza z odległości co najmniej 150 m (dopuszcza się migające światło). Tylne światło pozycyjne nie może być widoczne z przodu pojazdu. Może być ono zdemontowane, jeżeli kierujący hulajnogą elektryczną nie jest obowiązany do używania go podczas jazdy.</w:t>
      </w:r>
    </w:p>
    <w:p w14:paraId="69DC6DF4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8747C" w14:textId="77777777" w:rsidR="00EF3011" w:rsidRPr="00C417FD" w:rsidRDefault="00EF3011" w:rsidP="00EF30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tylną częścią 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24A627AB" w14:textId="4873183C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odblaskowe barwy czerwonej o kształcie innym niż trójkąt. Światło to oświetlone światłem drogowym innego pojazdu powinno być widoczne w nocy przy dobrej przejrzystości powietrza z odległości co najmniej 150 m. Światło to nie może być widoczne z przodu pojazdu.</w:t>
      </w:r>
    </w:p>
    <w:p w14:paraId="02759389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2C754" w14:textId="585C141B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podstawą </w:t>
      </w:r>
      <w:r w:rsidR="00EF30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59D9DE52" w14:textId="78A8474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Numer rozpoznawczy lub kod graficzny umożliwiający identyfikację pojazdu, nadany i umieszczony przez producenta w sposób trwały na ramie lub innym podobnym podstawowym elemencie konstrukcyjnym.</w:t>
      </w:r>
    </w:p>
    <w:p w14:paraId="59175F41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FD087" w14:textId="6D89C354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14:paraId="425EC0D6" w14:textId="7FDDAAF5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Maksymaln</w:t>
      </w:r>
      <w:r w:rsidR="00203130">
        <w:rPr>
          <w:rFonts w:ascii="Times New Roman" w:hAnsi="Times New Roman" w:cs="Times New Roman"/>
          <w:sz w:val="24"/>
          <w:szCs w:val="24"/>
        </w:rPr>
        <w:t>e</w:t>
      </w:r>
      <w:r w:rsidRPr="00C417FD">
        <w:rPr>
          <w:rFonts w:ascii="Times New Roman" w:hAnsi="Times New Roman" w:cs="Times New Roman"/>
          <w:sz w:val="24"/>
          <w:szCs w:val="24"/>
        </w:rPr>
        <w:t xml:space="preserve"> wymiary: Długość 1,4 m. Szerokość: 0,9 m.</w:t>
      </w:r>
    </w:p>
    <w:p w14:paraId="6672752F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28E09" w14:textId="70AE369F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14:paraId="2F1260F5" w14:textId="27E2800A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Konstrukcja </w:t>
      </w:r>
      <w:r w:rsidR="00306A62">
        <w:rPr>
          <w:rFonts w:ascii="Times New Roman" w:hAnsi="Times New Roman" w:cs="Times New Roman"/>
          <w:sz w:val="24"/>
          <w:szCs w:val="24"/>
        </w:rPr>
        <w:t>urządzenia transportu osobistego</w:t>
      </w:r>
      <w:r w:rsidRPr="00C417FD">
        <w:rPr>
          <w:rFonts w:ascii="Times New Roman" w:hAnsi="Times New Roman" w:cs="Times New Roman"/>
          <w:sz w:val="24"/>
          <w:szCs w:val="24"/>
        </w:rPr>
        <w:t xml:space="preserve"> musi ograniczać rozwijanie prędkości przekraczającej 20 km/h i zapewniać możliwość skutecznego hamowania.</w:t>
      </w:r>
    </w:p>
    <w:p w14:paraId="6218628F" w14:textId="7777777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A7C9E" w14:textId="1E3D8831" w:rsidR="005962FF" w:rsidRPr="00C417FD" w:rsidRDefault="005962FF" w:rsidP="00C41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lastRenderedPageBreak/>
        <w:t>Ponadto każd</w:t>
      </w:r>
      <w:r w:rsidR="00306A62">
        <w:rPr>
          <w:rFonts w:ascii="Times New Roman" w:hAnsi="Times New Roman" w:cs="Times New Roman"/>
          <w:bCs/>
          <w:sz w:val="24"/>
          <w:szCs w:val="24"/>
        </w:rPr>
        <w:t>e</w:t>
      </w:r>
      <w:r w:rsidRPr="00C41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A62">
        <w:rPr>
          <w:rFonts w:ascii="Times New Roman" w:hAnsi="Times New Roman" w:cs="Times New Roman"/>
          <w:bCs/>
          <w:sz w:val="24"/>
          <w:szCs w:val="24"/>
        </w:rPr>
        <w:t>urządzenie transportu osobistego</w:t>
      </w:r>
      <w:r w:rsidRPr="00C417FD">
        <w:rPr>
          <w:rFonts w:ascii="Times New Roman" w:hAnsi="Times New Roman" w:cs="Times New Roman"/>
          <w:bCs/>
          <w:sz w:val="24"/>
          <w:szCs w:val="24"/>
        </w:rPr>
        <w:t xml:space="preserve"> (bez względu na datę wprowadzenia do obrotu) musi odpowiadać przepisom zawartym w art. 66. 1 Ustawy Prawo o ruchu drogowym. Według nich każdy pojazd uczestniczący w ruchu ma być tak zbudowany, wyposażony i utrzymany, aby korzystanie z niego:</w:t>
      </w:r>
    </w:p>
    <w:p w14:paraId="65EBB733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0B9C29" w14:textId="210379D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zagrażało bezpieczeństwu osoby nim jadącej lub bezpieczeństwu innych uczestników ruchu, nie naruszało porządku ruchu na drodze i nie narażało kogokolwiek na szkodę.</w:t>
      </w:r>
    </w:p>
    <w:p w14:paraId="4CE52FD2" w14:textId="6C852F00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zakłócało spokoju publicznego przez powodowanie hałasu przekraczającego poziom określony w przepisach szczegółowych.</w:t>
      </w:r>
    </w:p>
    <w:p w14:paraId="31758640" w14:textId="197CBE4F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wydzielania szkodliwych substancji w stopniu przekraczającym wielkości określone w przepisach szczegółowych.</w:t>
      </w:r>
    </w:p>
    <w:p w14:paraId="57E161AB" w14:textId="1858C6C8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niszczenia drogi.</w:t>
      </w:r>
    </w:p>
    <w:p w14:paraId="72604547" w14:textId="1C79E11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Zapewniało dostateczne pole widzenia kierowcy oraz łatwe, wygodne i pewne posługiwanie się urządzeniami do kierowania, hamowania, sygnalizacji i oświetlenia drogi przy równoczesnym jej obserwowaniu.</w:t>
      </w:r>
    </w:p>
    <w:p w14:paraId="724EA39C" w14:textId="77777777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 xml:space="preserve">Nie powodowało zakłóceń radioelektrycznych w stopniu przekraczającym wielkości określone </w:t>
      </w:r>
      <w:r w:rsidRPr="00C417FD">
        <w:rPr>
          <w:rFonts w:ascii="Times New Roman" w:hAnsi="Times New Roman" w:cs="Times New Roman"/>
          <w:bCs/>
          <w:sz w:val="24"/>
          <w:szCs w:val="24"/>
        </w:rPr>
        <w:br/>
        <w:t>w przepisach szczegółowych.</w:t>
      </w:r>
    </w:p>
    <w:p w14:paraId="0521EE37" w14:textId="77777777" w:rsidR="005962FF" w:rsidRPr="00C417FD" w:rsidRDefault="005962FF" w:rsidP="0059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C0DB0" w14:textId="7FE9A581" w:rsidR="00C417FD" w:rsidRPr="00C417FD" w:rsidRDefault="00C417FD" w:rsidP="005962FF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[Pole tekstowe otoczone czerwoną ramką zawierające tekst o czerwonej wytłuszczonej czcionce:]</w:t>
      </w:r>
    </w:p>
    <w:p w14:paraId="7E65B622" w14:textId="3E7D5ACB" w:rsidR="005962FF" w:rsidRPr="00C417FD" w:rsidRDefault="00C417FD" w:rsidP="00C417FD">
      <w:pPr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Odpowiedzialność za należyty stan techniczny pojazdu spoczywa na kierującym. Dotyczy to również sytuacji, w której </w:t>
      </w:r>
      <w:r w:rsidR="00F903BA">
        <w:rPr>
          <w:rFonts w:ascii="Times New Roman" w:hAnsi="Times New Roman" w:cs="Times New Roman"/>
          <w:sz w:val="24"/>
          <w:szCs w:val="24"/>
        </w:rPr>
        <w:t>urządzenie</w:t>
      </w:r>
      <w:r w:rsidRPr="00C417FD">
        <w:rPr>
          <w:rFonts w:ascii="Times New Roman" w:hAnsi="Times New Roman" w:cs="Times New Roman"/>
          <w:sz w:val="24"/>
          <w:szCs w:val="24"/>
        </w:rPr>
        <w:t xml:space="preserve"> jest wypożyczon</w:t>
      </w:r>
      <w:r w:rsidR="00F903BA">
        <w:rPr>
          <w:rFonts w:ascii="Times New Roman" w:hAnsi="Times New Roman" w:cs="Times New Roman"/>
          <w:sz w:val="24"/>
          <w:szCs w:val="24"/>
        </w:rPr>
        <w:t>e</w:t>
      </w:r>
      <w:r w:rsidRPr="00C417FD">
        <w:rPr>
          <w:rFonts w:ascii="Times New Roman" w:hAnsi="Times New Roman" w:cs="Times New Roman"/>
          <w:sz w:val="24"/>
          <w:szCs w:val="24"/>
        </w:rPr>
        <w:t xml:space="preserve"> np. za pośrednictwem aplikacji mobilnej.</w:t>
      </w:r>
    </w:p>
    <w:sectPr w:rsidR="005962FF" w:rsidRPr="00C417F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91186">
    <w:abstractNumId w:val="19"/>
  </w:num>
  <w:num w:numId="2" w16cid:durableId="1990942389">
    <w:abstractNumId w:val="9"/>
  </w:num>
  <w:num w:numId="3" w16cid:durableId="2144300692">
    <w:abstractNumId w:val="2"/>
  </w:num>
  <w:num w:numId="4" w16cid:durableId="1896693524">
    <w:abstractNumId w:val="0"/>
  </w:num>
  <w:num w:numId="5" w16cid:durableId="183710525">
    <w:abstractNumId w:val="12"/>
  </w:num>
  <w:num w:numId="6" w16cid:durableId="2068529634">
    <w:abstractNumId w:val="15"/>
  </w:num>
  <w:num w:numId="7" w16cid:durableId="144854959">
    <w:abstractNumId w:val="7"/>
  </w:num>
  <w:num w:numId="8" w16cid:durableId="207225039">
    <w:abstractNumId w:val="16"/>
  </w:num>
  <w:num w:numId="9" w16cid:durableId="747117094">
    <w:abstractNumId w:val="14"/>
  </w:num>
  <w:num w:numId="10" w16cid:durableId="401954038">
    <w:abstractNumId w:val="8"/>
  </w:num>
  <w:num w:numId="11" w16cid:durableId="1869293963">
    <w:abstractNumId w:val="5"/>
  </w:num>
  <w:num w:numId="12" w16cid:durableId="1185749290">
    <w:abstractNumId w:val="4"/>
  </w:num>
  <w:num w:numId="13" w16cid:durableId="1168449810">
    <w:abstractNumId w:val="6"/>
  </w:num>
  <w:num w:numId="14" w16cid:durableId="1274285051">
    <w:abstractNumId w:val="11"/>
  </w:num>
  <w:num w:numId="15" w16cid:durableId="1429303576">
    <w:abstractNumId w:val="17"/>
  </w:num>
  <w:num w:numId="16" w16cid:durableId="2106151585">
    <w:abstractNumId w:val="10"/>
  </w:num>
  <w:num w:numId="17" w16cid:durableId="2076589829">
    <w:abstractNumId w:val="18"/>
  </w:num>
  <w:num w:numId="18" w16cid:durableId="1424498845">
    <w:abstractNumId w:val="3"/>
  </w:num>
  <w:num w:numId="19" w16cid:durableId="1206481513">
    <w:abstractNumId w:val="13"/>
  </w:num>
  <w:num w:numId="20" w16cid:durableId="143998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203130"/>
    <w:rsid w:val="002D79AF"/>
    <w:rsid w:val="00306A62"/>
    <w:rsid w:val="00323CD3"/>
    <w:rsid w:val="00330B74"/>
    <w:rsid w:val="00330D0F"/>
    <w:rsid w:val="00332049"/>
    <w:rsid w:val="00343A80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417FD"/>
    <w:rsid w:val="00CA288F"/>
    <w:rsid w:val="00CB1098"/>
    <w:rsid w:val="00CF32C8"/>
    <w:rsid w:val="00D436AD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46</cp:revision>
  <dcterms:created xsi:type="dcterms:W3CDTF">2021-03-25T14:59:00Z</dcterms:created>
  <dcterms:modified xsi:type="dcterms:W3CDTF">2022-11-16T10:35:00Z</dcterms:modified>
</cp:coreProperties>
</file>